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C2" w:rsidRDefault="00B72CF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.45pt;margin-top:5.55pt;width:116.65pt;height:55.2pt;z-index:251659264" o:gfxdata="UEsDBAoAAAAAAIdO4kAAAAAAAAAAAAAAAAAEAAAAZHJzL1BLAwQUAAAACACHTuJA1PwTvdQAAAAH&#10;AQAADwAAAGRycy9kb3ducmV2LnhtbE2Oy07DMBBF90j8gzWV2CDqJPRB0ziVQAKxbekHTOJpEhGP&#10;o9ht2r9nWMHyPnTvKXZX16sLjaHzbCCdJ6CIa287bgwcv96fXkCFiGyx90wGbhRgV97fFZhbP/Ge&#10;LofYKBnhkKOBNsYh1zrULTkMcz8QS3byo8Mocmy0HXGScdfrLElW2mHH8tDiQG8t1d+HszNw+pwe&#10;l5up+ojH9X6xesVuXfmbMQ+zNNmCinSNf2X4xRd0KIWp8me2QfUGNtITN01BSZo9LzJQlRhZugRd&#10;Fvo/f/kDUEsDBBQAAAAIAIdO4kBFhXUargEAADIDAAAOAAAAZHJzL2Uyb0RvYy54bWytUsFuEzEQ&#10;vSP1HyzfySYhgbLKphKtwgUBUuEDHK+9a8n2WGM3u/kB+ANOXLjzXfmOjp00BXqr2MOs7XnzPO+N&#10;V1ejs2ynMBrwDZ9NppwpL6E1vmv41y+bl5ecxSR8Kyx41fC9ivxqffFiNYRazaEH2ypkROJjPYSG&#10;9ymFuqqi7JUTcQJBeUpqQCcSbbGrWhQDsTtbzafT19UA2AYEqWKk05tjkq8Lv9ZKpk9aR5WYbTj1&#10;lkrEErc5VuuVqDsUoTfy1IZ4RhdOGE+XnqluRBLsDs0TKmckQgSdJhJcBVobqYoGUjOb/qPmthdB&#10;FS1kTgxnm+L/o5Ufd5+RmbbhC868cDSiw4/vh5+/D7++sVfZniHEmlC3gXBpfAcjjfnhPNJhVj1q&#10;dPlPehjlyej92Vw1JiZz0eJytlguOZOUe0NiF8X96rE6YEzvFTiWFw1HGl7xVOw+xESdEPQBki+L&#10;YE27MdaWDXbba4tsJ2jQm/LlJqnkL5j1bGj42+V8WZg95PojznqCZ7FHUXmVxu14cmAL7Z4MuAto&#10;up6aKxYUOA2m3HN6RHnyf+4L6eNTX9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1PwTvdQAAAAH&#10;AQAADwAAAAAAAAABACAAAAAiAAAAZHJzL2Rvd25yZXYueG1sUEsBAhQAFAAAAAgAh07iQEWFdRqu&#10;AQAAMgMAAA4AAAAAAAAAAQAgAAAAIwEAAGRycy9lMm9Eb2MueG1sUEsFBgAAAAAGAAYAWQEAAEMF&#10;AAAAAA==&#10;" stroked="f">
            <v:textbox>
              <w:txbxContent>
                <w:p w:rsidR="00D92CC2" w:rsidRDefault="00E07AE8"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麒麟职教集团六届三次教代会会议材料（八）</w:t>
                  </w:r>
                </w:p>
                <w:p w:rsidR="00D92CC2" w:rsidRDefault="00D92CC2"/>
              </w:txbxContent>
            </v:textbox>
          </v:shape>
        </w:pict>
      </w:r>
    </w:p>
    <w:p w:rsidR="00D92CC2" w:rsidRDefault="00D92CC2">
      <w:pPr>
        <w:spacing w:line="600" w:lineRule="exact"/>
        <w:ind w:leftChars="-257" w:left="-540" w:rightChars="-126" w:right="-265" w:firstLine="541"/>
        <w:jc w:val="center"/>
        <w:rPr>
          <w:rFonts w:ascii="仿宋" w:eastAsia="仿宋" w:hAnsi="仿宋"/>
          <w:b/>
          <w:sz w:val="18"/>
          <w:szCs w:val="18"/>
        </w:rPr>
      </w:pPr>
    </w:p>
    <w:p w:rsidR="00D92CC2" w:rsidRDefault="00D92CC2">
      <w:pPr>
        <w:spacing w:line="600" w:lineRule="exact"/>
        <w:ind w:leftChars="-257" w:left="-540" w:rightChars="-126" w:right="-265" w:firstLine="541"/>
        <w:jc w:val="center"/>
        <w:rPr>
          <w:rFonts w:ascii="仿宋" w:eastAsia="仿宋" w:hAnsi="仿宋"/>
          <w:b/>
          <w:szCs w:val="21"/>
        </w:rPr>
      </w:pPr>
    </w:p>
    <w:p w:rsidR="00D92CC2" w:rsidRDefault="00D92CC2">
      <w:pPr>
        <w:spacing w:line="600" w:lineRule="exact"/>
        <w:ind w:leftChars="-257" w:left="-540" w:rightChars="-126" w:right="-265" w:firstLine="541"/>
        <w:jc w:val="center"/>
        <w:rPr>
          <w:rFonts w:ascii="仿宋" w:eastAsia="仿宋" w:hAnsi="仿宋"/>
          <w:b/>
          <w:szCs w:val="21"/>
        </w:rPr>
      </w:pPr>
    </w:p>
    <w:p w:rsidR="00D92CC2" w:rsidRDefault="00D92CC2">
      <w:pPr>
        <w:spacing w:line="600" w:lineRule="exact"/>
        <w:ind w:rightChars="-126" w:right="-265"/>
        <w:rPr>
          <w:rFonts w:ascii="仿宋" w:eastAsia="仿宋" w:hAnsi="仿宋"/>
          <w:b/>
          <w:szCs w:val="21"/>
        </w:rPr>
      </w:pPr>
    </w:p>
    <w:p w:rsidR="00D92CC2" w:rsidRPr="00AC2BD0" w:rsidRDefault="00E07AE8" w:rsidP="00AC2BD0">
      <w:pPr>
        <w:spacing w:line="740" w:lineRule="exact"/>
        <w:ind w:rightChars="-126" w:right="-265"/>
        <w:jc w:val="center"/>
        <w:rPr>
          <w:rFonts w:ascii="仿宋" w:eastAsia="仿宋" w:hAnsi="仿宋"/>
          <w:b/>
          <w:spacing w:val="-20"/>
          <w:sz w:val="48"/>
          <w:szCs w:val="48"/>
        </w:rPr>
      </w:pPr>
      <w:r w:rsidRPr="00AC2BD0">
        <w:rPr>
          <w:rFonts w:ascii="仿宋" w:eastAsia="仿宋" w:hAnsi="仿宋" w:hint="eastAsia"/>
          <w:b/>
          <w:spacing w:val="-20"/>
          <w:sz w:val="48"/>
          <w:szCs w:val="48"/>
        </w:rPr>
        <w:t>曲靖市麒麟职业教育集团第六届教代会</w:t>
      </w:r>
    </w:p>
    <w:p w:rsidR="00D92CC2" w:rsidRPr="00AC2BD0" w:rsidRDefault="00E07AE8" w:rsidP="00AC2BD0">
      <w:pPr>
        <w:spacing w:line="740" w:lineRule="exact"/>
        <w:ind w:rightChars="-126" w:right="-265"/>
        <w:jc w:val="center"/>
        <w:rPr>
          <w:rFonts w:ascii="仿宋" w:eastAsia="仿宋" w:hAnsi="仿宋"/>
          <w:b/>
          <w:sz w:val="48"/>
          <w:szCs w:val="48"/>
        </w:rPr>
      </w:pPr>
      <w:r w:rsidRPr="00AC2BD0">
        <w:rPr>
          <w:rFonts w:ascii="仿宋" w:eastAsia="仿宋" w:hAnsi="仿宋" w:hint="eastAsia"/>
          <w:b/>
          <w:sz w:val="48"/>
          <w:szCs w:val="48"/>
        </w:rPr>
        <w:t>第三次代表大会关于《曲靖市麒麟职教集团2016年经费结算和2017年经费预算（草案）的报告》的决议</w:t>
      </w:r>
    </w:p>
    <w:p w:rsidR="00D92CC2" w:rsidRPr="00AC2BD0" w:rsidRDefault="00E07AE8" w:rsidP="00AC2BD0">
      <w:pPr>
        <w:spacing w:line="740" w:lineRule="exact"/>
        <w:ind w:leftChars="-257" w:left="-540" w:rightChars="-126" w:right="-265" w:firstLine="541"/>
        <w:jc w:val="center"/>
        <w:rPr>
          <w:rFonts w:ascii="仿宋" w:eastAsia="仿宋" w:hAnsi="仿宋"/>
          <w:b/>
          <w:sz w:val="48"/>
          <w:szCs w:val="48"/>
        </w:rPr>
      </w:pPr>
      <w:r w:rsidRPr="00AC2BD0">
        <w:rPr>
          <w:rFonts w:ascii="仿宋" w:eastAsia="仿宋" w:hAnsi="仿宋" w:hint="eastAsia"/>
          <w:b/>
          <w:sz w:val="48"/>
          <w:szCs w:val="48"/>
        </w:rPr>
        <w:t>（草案）</w:t>
      </w:r>
    </w:p>
    <w:p w:rsidR="00D92CC2" w:rsidRDefault="00E07AE8">
      <w:pPr>
        <w:spacing w:line="360" w:lineRule="auto"/>
        <w:ind w:leftChars="-257" w:left="-540" w:rightChars="-126" w:right="-265" w:firstLine="541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——曲靖市麒麟职业教育集团第六届教代会第三次代表大会通过</w:t>
      </w:r>
    </w:p>
    <w:p w:rsidR="00D92CC2" w:rsidRDefault="00E07AE8" w:rsidP="00AC2BD0">
      <w:pPr>
        <w:spacing w:beforeLines="50" w:afterLines="100"/>
        <w:ind w:firstLine="420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（2017年1月1</w:t>
      </w:r>
      <w:r w:rsidR="002A731F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日）</w:t>
      </w:r>
    </w:p>
    <w:p w:rsidR="00D92CC2" w:rsidRDefault="00E07AE8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曲靖市麒麟职教集团第六届教代会第三次代表大会会议听取、审议了</w:t>
      </w:r>
      <w:r w:rsidR="00374474">
        <w:rPr>
          <w:rFonts w:ascii="仿宋_GB2312" w:eastAsia="仿宋_GB2312" w:hAnsi="仿宋" w:hint="eastAsia"/>
          <w:sz w:val="32"/>
          <w:szCs w:val="32"/>
        </w:rPr>
        <w:t>副校长</w:t>
      </w:r>
      <w:r>
        <w:rPr>
          <w:rFonts w:ascii="仿宋_GB2312" w:eastAsia="仿宋_GB2312" w:hAnsi="仿宋" w:hint="eastAsia"/>
          <w:sz w:val="32"/>
          <w:szCs w:val="32"/>
        </w:rPr>
        <w:t>周智刚所作的《曲靖市麒麟职教集团2016年经费结算和2017年经费预算（草案）的报告》，会议认为二O一六年</w:t>
      </w:r>
      <w:r w:rsidR="00374474">
        <w:rPr>
          <w:rFonts w:ascii="仿宋_GB2312" w:eastAsia="仿宋_GB2312" w:hAnsi="仿宋" w:hint="eastAsia"/>
          <w:sz w:val="32"/>
          <w:szCs w:val="32"/>
        </w:rPr>
        <w:t>集团</w:t>
      </w:r>
      <w:r>
        <w:rPr>
          <w:rFonts w:ascii="仿宋_GB2312" w:eastAsia="仿宋_GB2312" w:hAnsi="仿宋" w:hint="eastAsia"/>
          <w:sz w:val="32"/>
          <w:szCs w:val="32"/>
        </w:rPr>
        <w:t>财务收入增长幅度明显，管理工作加强，收支控制合理。决定批准《曲靖市麒麟职教集团2016年经费结算和2017年经费预算（草案）的报告》。</w:t>
      </w:r>
    </w:p>
    <w:p w:rsidR="00D92CC2" w:rsidRDefault="00D92CC2">
      <w:bookmarkStart w:id="0" w:name="_GoBack"/>
      <w:bookmarkEnd w:id="0"/>
    </w:p>
    <w:sectPr w:rsidR="00D92CC2" w:rsidSect="00D92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C4" w:rsidRDefault="008539C4" w:rsidP="00374474">
      <w:r>
        <w:separator/>
      </w:r>
    </w:p>
  </w:endnote>
  <w:endnote w:type="continuationSeparator" w:id="1">
    <w:p w:rsidR="008539C4" w:rsidRDefault="008539C4" w:rsidP="0037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C4" w:rsidRDefault="008539C4" w:rsidP="00374474">
      <w:r>
        <w:separator/>
      </w:r>
    </w:p>
  </w:footnote>
  <w:footnote w:type="continuationSeparator" w:id="1">
    <w:p w:rsidR="008539C4" w:rsidRDefault="008539C4" w:rsidP="00374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CC2"/>
    <w:rsid w:val="000A4943"/>
    <w:rsid w:val="002A731F"/>
    <w:rsid w:val="00374474"/>
    <w:rsid w:val="008539C4"/>
    <w:rsid w:val="00AC2BD0"/>
    <w:rsid w:val="00B72CFA"/>
    <w:rsid w:val="00BE44F2"/>
    <w:rsid w:val="00D92CC2"/>
    <w:rsid w:val="00E07AE8"/>
    <w:rsid w:val="37EA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C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4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4474"/>
    <w:rPr>
      <w:kern w:val="2"/>
      <w:sz w:val="18"/>
      <w:szCs w:val="18"/>
    </w:rPr>
  </w:style>
  <w:style w:type="paragraph" w:styleId="a4">
    <w:name w:val="footer"/>
    <w:basedOn w:val="a"/>
    <w:link w:val="Char0"/>
    <w:rsid w:val="00374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44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2017-01-12T09:08:00Z</cp:lastPrinted>
  <dcterms:created xsi:type="dcterms:W3CDTF">2014-10-29T12:08:00Z</dcterms:created>
  <dcterms:modified xsi:type="dcterms:W3CDTF">2017-01-12T09:08:00Z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